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hint="eastAsia" w:ascii="楷体" w:hAnsi="楷体" w:eastAsia="楷体" w:cs="楷体"/>
          <w:sz w:val="52"/>
          <w:szCs w:val="72"/>
        </w:rPr>
      </w:pPr>
    </w:p>
    <w:p>
      <w:pPr>
        <w:adjustRightInd w:val="0"/>
        <w:snapToGrid w:val="0"/>
        <w:jc w:val="center"/>
        <w:rPr>
          <w:rFonts w:ascii="微软雅黑" w:hAnsi="微软雅黑" w:eastAsia="微软雅黑" w:cs="楷体"/>
          <w:b/>
          <w:bCs/>
          <w:sz w:val="56"/>
          <w:szCs w:val="96"/>
        </w:rPr>
      </w:pPr>
      <w:r>
        <w:rPr>
          <w:rFonts w:hint="eastAsia" w:ascii="微软雅黑" w:hAnsi="微软雅黑" w:eastAsia="微软雅黑" w:cs="楷体"/>
          <w:b/>
          <w:bCs/>
          <w:sz w:val="56"/>
          <w:szCs w:val="96"/>
        </w:rPr>
        <w:t>F341车载定位终端</w:t>
      </w:r>
    </w:p>
    <w:p>
      <w:pPr>
        <w:adjustRightInd w:val="0"/>
        <w:snapToGrid w:val="0"/>
        <w:jc w:val="center"/>
        <w:rPr>
          <w:rFonts w:ascii="微软雅黑" w:hAnsi="微软雅黑" w:eastAsia="微软雅黑" w:cs="楷体"/>
          <w:b/>
          <w:bCs/>
          <w:sz w:val="56"/>
          <w:szCs w:val="96"/>
        </w:rPr>
      </w:pPr>
      <w:r>
        <w:rPr>
          <w:rFonts w:hint="eastAsia" w:ascii="微软雅黑" w:hAnsi="微软雅黑" w:eastAsia="微软雅黑" w:cs="楷体"/>
          <w:b/>
          <w:bCs/>
          <w:sz w:val="56"/>
          <w:szCs w:val="96"/>
        </w:rPr>
        <w:t>产品规格书</w:t>
      </w:r>
    </w:p>
    <w:p>
      <w:pPr>
        <w:adjustRightInd w:val="0"/>
        <w:snapToGrid w:val="0"/>
        <w:jc w:val="center"/>
        <w:rPr>
          <w:rFonts w:ascii="微软雅黑" w:hAnsi="微软雅黑" w:eastAsia="微软雅黑" w:cs="楷体"/>
          <w:b/>
          <w:bCs/>
          <w:sz w:val="36"/>
          <w:szCs w:val="36"/>
        </w:rPr>
      </w:pPr>
    </w:p>
    <w:p>
      <w:pPr>
        <w:adjustRightInd w:val="0"/>
        <w:snapToGrid w:val="0"/>
        <w:jc w:val="center"/>
        <w:rPr>
          <w:rFonts w:ascii="微软雅黑" w:hAnsi="微软雅黑" w:eastAsia="微软雅黑" w:cs="楷体"/>
          <w:b/>
          <w:bCs/>
          <w:sz w:val="36"/>
          <w:szCs w:val="36"/>
        </w:rPr>
      </w:pPr>
    </w:p>
    <w:p>
      <w:pPr>
        <w:jc w:val="center"/>
        <w:rPr>
          <w:rFonts w:ascii="微软雅黑" w:hAnsi="微软雅黑" w:eastAsia="微软雅黑" w:cs="楷体"/>
          <w:sz w:val="48"/>
          <w:szCs w:val="56"/>
        </w:rPr>
      </w:pPr>
      <w:r>
        <w:rPr>
          <w:rFonts w:hint="eastAsia" w:ascii="微软雅黑" w:hAnsi="微软雅黑" w:eastAsia="微软雅黑" w:cs="楷体"/>
          <w:sz w:val="48"/>
          <w:szCs w:val="56"/>
        </w:rPr>
        <w:drawing>
          <wp:inline distT="0" distB="0" distL="114300" distR="114300">
            <wp:extent cx="5939155" cy="4059555"/>
            <wp:effectExtent l="0" t="0" r="4445" b="17145"/>
            <wp:docPr id="1" name="图片 1" descr="F341-Tracker精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341-Tracker精图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405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 w:eastAsia="微软雅黑" w:cs="楷体"/>
          <w:sz w:val="48"/>
          <w:szCs w:val="56"/>
          <w:u w:val="single"/>
        </w:rPr>
      </w:pPr>
    </w:p>
    <w:p>
      <w:pPr>
        <w:rPr>
          <w:rFonts w:ascii="微软雅黑" w:hAnsi="微软雅黑" w:eastAsia="微软雅黑" w:cs="楷体"/>
          <w:sz w:val="32"/>
          <w:szCs w:val="32"/>
          <w:u w:val="single"/>
        </w:rPr>
      </w:pPr>
    </w:p>
    <w:p>
      <w:pPr>
        <w:rPr>
          <w:rFonts w:ascii="微软雅黑" w:hAnsi="微软雅黑" w:eastAsia="微软雅黑" w:cs="楷体"/>
          <w:sz w:val="32"/>
          <w:szCs w:val="32"/>
          <w:u w:val="single"/>
        </w:rPr>
      </w:pPr>
    </w:p>
    <w:p>
      <w:pPr>
        <w:jc w:val="center"/>
        <w:rPr>
          <w:rFonts w:ascii="微软雅黑" w:hAnsi="微软雅黑" w:eastAsia="微软雅黑" w:cs="楷体"/>
          <w:sz w:val="48"/>
          <w:szCs w:val="56"/>
        </w:rPr>
      </w:pPr>
      <w:r>
        <w:rPr>
          <w:rFonts w:hint="eastAsia" w:ascii="微软雅黑" w:hAnsi="微软雅黑" w:eastAsia="微软雅黑" w:cs="楷体"/>
          <w:sz w:val="48"/>
          <w:szCs w:val="56"/>
        </w:rPr>
        <w:t>XXXXX公司</w:t>
      </w:r>
    </w:p>
    <w:p>
      <w:pPr>
        <w:numPr>
          <w:ilvl w:val="0"/>
          <w:numId w:val="1"/>
        </w:numPr>
        <w:adjustRightInd w:val="0"/>
        <w:snapToGrid w:val="0"/>
        <w:jc w:val="left"/>
        <w:outlineLvl w:val="0"/>
        <w:rPr>
          <w:rFonts w:ascii="微软雅黑" w:hAnsi="微软雅黑" w:eastAsia="微软雅黑" w:cs="楷体"/>
          <w:bCs/>
          <w:sz w:val="30"/>
          <w:szCs w:val="30"/>
        </w:rPr>
      </w:pPr>
      <w:bookmarkStart w:id="0" w:name="_Toc9008_WPSOffice_Level1"/>
      <w:bookmarkStart w:id="1" w:name="_Toc6485"/>
      <w:r>
        <w:rPr>
          <w:rFonts w:hint="eastAsia" w:ascii="微软雅黑" w:hAnsi="微软雅黑" w:eastAsia="微软雅黑" w:cs="楷体"/>
          <w:bCs/>
          <w:sz w:val="30"/>
          <w:szCs w:val="30"/>
        </w:rPr>
        <w:t>产品基本介绍</w:t>
      </w:r>
      <w:bookmarkEnd w:id="0"/>
      <w:bookmarkEnd w:id="1"/>
    </w:p>
    <w:p>
      <w:pPr>
        <w:adjustRightInd w:val="0"/>
        <w:snapToGrid w:val="0"/>
        <w:jc w:val="center"/>
        <w:rPr>
          <w:rFonts w:ascii="微软雅黑" w:hAnsi="微软雅黑" w:eastAsia="微软雅黑" w:cs="楷体"/>
          <w:bCs/>
          <w:sz w:val="30"/>
          <w:szCs w:val="30"/>
        </w:rPr>
      </w:pPr>
      <w:r>
        <w:rPr>
          <w:rFonts w:ascii="微软雅黑" w:hAnsi="微软雅黑" w:eastAsia="微软雅黑" w:cs="楷体"/>
          <w:bCs/>
          <w:sz w:val="30"/>
          <w:szCs w:val="30"/>
        </w:rPr>
        <w:drawing>
          <wp:inline distT="0" distB="0" distL="0" distR="0">
            <wp:extent cx="6462395" cy="3428365"/>
            <wp:effectExtent l="0" t="0" r="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62395" cy="342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adjustRightInd w:val="0"/>
        <w:snapToGrid w:val="0"/>
        <w:spacing w:before="156" w:beforeLines="50"/>
        <w:jc w:val="left"/>
        <w:outlineLvl w:val="1"/>
        <w:rPr>
          <w:rFonts w:ascii="微软雅黑" w:hAnsi="微软雅黑" w:eastAsia="微软雅黑" w:cs="楷体"/>
          <w:bCs/>
          <w:sz w:val="28"/>
          <w:szCs w:val="28"/>
          <w:u w:val="single"/>
        </w:rPr>
      </w:pPr>
      <w:bookmarkStart w:id="2" w:name="_Toc18216_WPSOffice_Level2"/>
      <w:bookmarkStart w:id="3" w:name="_Toc6808"/>
      <w:r>
        <w:rPr>
          <w:rFonts w:hint="eastAsia" w:ascii="微软雅黑" w:hAnsi="微软雅黑" w:eastAsia="微软雅黑" w:cs="楷体"/>
          <w:bCs/>
          <w:sz w:val="28"/>
          <w:szCs w:val="28"/>
        </w:rPr>
        <w:t>1.1产品简介</w:t>
      </w:r>
      <w:bookmarkEnd w:id="2"/>
      <w:bookmarkEnd w:id="3"/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 xml:space="preserve">F341是一款4G全网通超薄车载定位终端产品，产品融合4G全网通无线通信技术及GPS+BDS双星导航定位技术，产品采用工业级高集成度模组设计，内置3轴加速度传感器+终端智能算法。具有电压检测、ACC检测、断电报警、超速报警、里程统计、远程断油电等功能。搭配高稳定性全球定位服务平台，实现车辆数据的实时监控、获取、位置追踪定位功能。 </w:t>
      </w:r>
    </w:p>
    <w:p>
      <w:pPr>
        <w:widowControl/>
        <w:adjustRightInd w:val="0"/>
        <w:snapToGrid w:val="0"/>
        <w:spacing w:before="156" w:beforeLines="50"/>
        <w:jc w:val="left"/>
        <w:outlineLvl w:val="1"/>
        <w:rPr>
          <w:rFonts w:ascii="微软雅黑" w:hAnsi="微软雅黑" w:eastAsia="微软雅黑" w:cs="楷体"/>
          <w:bCs/>
          <w:sz w:val="28"/>
          <w:szCs w:val="28"/>
        </w:rPr>
      </w:pPr>
      <w:bookmarkStart w:id="4" w:name="_Toc12941_WPSOffice_Level2"/>
      <w:bookmarkStart w:id="5" w:name="_Toc9432"/>
      <w:r>
        <w:rPr>
          <w:rFonts w:hint="eastAsia" w:ascii="微软雅黑" w:hAnsi="微软雅黑" w:eastAsia="微软雅黑" w:cs="楷体"/>
          <w:bCs/>
          <w:color w:val="000000"/>
          <w:kern w:val="0"/>
          <w:sz w:val="28"/>
          <w:szCs w:val="28"/>
        </w:rPr>
        <w:t>1.2</w:t>
      </w:r>
      <w:r>
        <w:rPr>
          <w:rFonts w:hint="eastAsia" w:ascii="微软雅黑" w:hAnsi="微软雅黑" w:eastAsia="微软雅黑" w:cs="楷体"/>
          <w:bCs/>
          <w:sz w:val="28"/>
          <w:szCs w:val="28"/>
        </w:rPr>
        <w:t>应用领域</w:t>
      </w:r>
      <w:bookmarkEnd w:id="4"/>
      <w:bookmarkEnd w:id="5"/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>新能源车领域、营运车辆、工程车辆、保险行业、企业车队行业、汽车厂商/4S店、个人用户、电摩、租赁车辆等。</w:t>
      </w:r>
    </w:p>
    <w:p>
      <w:pPr>
        <w:widowControl/>
        <w:adjustRightInd w:val="0"/>
        <w:snapToGrid w:val="0"/>
        <w:spacing w:before="156" w:beforeLines="50"/>
        <w:jc w:val="left"/>
        <w:outlineLvl w:val="1"/>
        <w:rPr>
          <w:rFonts w:ascii="微软雅黑" w:hAnsi="微软雅黑" w:eastAsia="微软雅黑" w:cs="楷体"/>
          <w:bCs/>
          <w:color w:val="000000"/>
          <w:kern w:val="0"/>
          <w:sz w:val="28"/>
          <w:szCs w:val="28"/>
        </w:rPr>
      </w:pPr>
      <w:bookmarkStart w:id="6" w:name="_Toc430_WPSOffice_Level2"/>
      <w:bookmarkStart w:id="7" w:name="_Toc8365"/>
      <w:r>
        <w:rPr>
          <w:rFonts w:hint="eastAsia" w:ascii="微软雅黑" w:hAnsi="微软雅黑" w:eastAsia="微软雅黑" w:cs="楷体"/>
          <w:bCs/>
          <w:color w:val="000000"/>
          <w:kern w:val="0"/>
          <w:sz w:val="28"/>
          <w:szCs w:val="28"/>
        </w:rPr>
        <w:t>1.3产品图片</w:t>
      </w:r>
      <w:bookmarkEnd w:id="6"/>
      <w:bookmarkEnd w:id="7"/>
    </w:p>
    <w:p>
      <w:pPr>
        <w:jc w:val="center"/>
        <w:rPr>
          <w:rFonts w:ascii="微软雅黑" w:hAnsi="微软雅黑" w:eastAsia="微软雅黑" w:cs="楷体"/>
          <w:bCs/>
          <w:szCs w:val="21"/>
        </w:rPr>
      </w:pPr>
      <w:r>
        <w:rPr>
          <w:rFonts w:hint="eastAsia" w:ascii="微软雅黑" w:hAnsi="微软雅黑" w:eastAsia="微软雅黑" w:cs="楷体"/>
          <w:bCs/>
          <w:szCs w:val="21"/>
        </w:rPr>
        <w:drawing>
          <wp:inline distT="0" distB="0" distL="114300" distR="114300">
            <wp:extent cx="5315585" cy="4814570"/>
            <wp:effectExtent l="0" t="0" r="18415" b="5080"/>
            <wp:docPr id="4" name="图片 4" descr="尺寸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尺寸图"/>
                    <pic:cNvPicPr>
                      <a:picLocks noChangeAspect="1"/>
                    </pic:cNvPicPr>
                  </pic:nvPicPr>
                  <pic:blipFill>
                    <a:blip r:embed="rId8"/>
                    <a:srcRect l="3833" r="5601" b="2795"/>
                    <a:stretch>
                      <a:fillRect/>
                    </a:stretch>
                  </pic:blipFill>
                  <pic:spPr>
                    <a:xfrm>
                      <a:off x="0" y="0"/>
                      <a:ext cx="5315585" cy="481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adjustRightInd w:val="0"/>
        <w:snapToGrid w:val="0"/>
        <w:jc w:val="left"/>
        <w:outlineLvl w:val="0"/>
        <w:rPr>
          <w:rFonts w:ascii="微软雅黑" w:hAnsi="微软雅黑" w:eastAsia="微软雅黑" w:cs="楷体"/>
          <w:bCs/>
          <w:sz w:val="30"/>
          <w:szCs w:val="30"/>
        </w:rPr>
      </w:pPr>
      <w:r>
        <w:rPr>
          <w:rFonts w:hint="eastAsia" w:ascii="微软雅黑" w:hAnsi="微软雅黑" w:eastAsia="微软雅黑" w:cs="楷体"/>
          <w:bCs/>
          <w:sz w:val="30"/>
          <w:szCs w:val="30"/>
        </w:rPr>
        <w:t>功能特点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color w:val="000000"/>
          <w:kern w:val="0"/>
          <w:sz w:val="24"/>
        </w:rPr>
        <w:t>支持掉电报警、SOS报警等多重报警。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color w:val="2F2F2F"/>
          <w:kern w:val="0"/>
          <w:sz w:val="24"/>
        </w:rPr>
        <w:t>双IP：可同时上报两个平台。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color w:val="2F2F2F"/>
          <w:kern w:val="0"/>
          <w:sz w:val="24"/>
        </w:rPr>
        <w:t>免费短信，通过运维助手免费设置IP、端口等常用参数。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sz w:val="24"/>
        </w:rPr>
        <w:t>支持高准确度里程统计功能（误差≤1%）。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color w:val="000000"/>
          <w:kern w:val="0"/>
          <w:sz w:val="24"/>
        </w:rPr>
        <w:t>支持离线数据存储，</w:t>
      </w:r>
      <w:r>
        <w:rPr>
          <w:rFonts w:hint="eastAsia" w:ascii="微软雅黑" w:hAnsi="微软雅黑" w:eastAsia="微软雅黑" w:cs="楷体"/>
          <w:color w:val="2F2F2F"/>
          <w:kern w:val="0"/>
          <w:sz w:val="24"/>
        </w:rPr>
        <w:t>盲区数据补传。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color w:val="000000"/>
          <w:kern w:val="0"/>
          <w:sz w:val="24"/>
        </w:rPr>
        <w:t>内置3轴加速度传感器，融合精准智能边缘算法，实时获取车辆姿态。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color w:val="000000"/>
          <w:kern w:val="0"/>
          <w:sz w:val="24"/>
        </w:rPr>
        <w:t>高灵敏度GPS+BDS双星定位，支持AGPS快速辅助定位跟踪、同步授时。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color w:val="000000"/>
          <w:kern w:val="0"/>
          <w:sz w:val="24"/>
        </w:rPr>
        <w:t xml:space="preserve">支持OTA在线远程升级、远程配置产品参数。 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color w:val="2F2F2F"/>
          <w:kern w:val="0"/>
          <w:sz w:val="24"/>
        </w:rPr>
        <w:t>休眠模式：支持低功耗节能模式，支持智能的休眠和唤醒机制，降低系统整体平均功耗。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color w:val="2F2F2F"/>
          <w:kern w:val="0"/>
          <w:sz w:val="24"/>
        </w:rPr>
        <w:t>支持电压、电量数据检测及上报。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sz w:val="24"/>
        </w:rPr>
        <w:t>远程断油电。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sz w:val="24"/>
        </w:rPr>
        <w:t>拐点补偿：判断车辆转弯，根据转弯角度和速度，补偿数据，轨迹点更贴近实际道路。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sz w:val="24"/>
        </w:rPr>
        <w:t>远程实时追踪。</w:t>
      </w:r>
    </w:p>
    <w:p>
      <w:pPr>
        <w:widowControl/>
        <w:numPr>
          <w:ilvl w:val="0"/>
          <w:numId w:val="2"/>
        </w:numPr>
        <w:snapToGrid w:val="0"/>
        <w:spacing w:line="300" w:lineRule="auto"/>
        <w:ind w:left="0" w:firstLine="480" w:firstLineChars="200"/>
        <w:jc w:val="left"/>
        <w:rPr>
          <w:rFonts w:ascii="微软雅黑" w:hAnsi="微软雅黑" w:eastAsia="微软雅黑" w:cs="楷体"/>
          <w:sz w:val="24"/>
        </w:rPr>
      </w:pPr>
      <w:r>
        <w:rPr>
          <w:rFonts w:hint="eastAsia" w:ascii="微软雅黑" w:hAnsi="微软雅黑" w:eastAsia="微软雅黑" w:cs="楷体"/>
          <w:sz w:val="24"/>
        </w:rPr>
        <w:t>SIM卡自动识别</w:t>
      </w:r>
    </w:p>
    <w:p>
      <w:pPr>
        <w:widowControl/>
        <w:snapToGrid w:val="0"/>
        <w:spacing w:line="300" w:lineRule="auto"/>
        <w:jc w:val="center"/>
        <w:rPr>
          <w:rFonts w:ascii="微软雅黑" w:hAnsi="微软雅黑" w:eastAsia="微软雅黑" w:cs="楷体"/>
          <w:sz w:val="24"/>
        </w:rPr>
      </w:pPr>
      <w:r>
        <w:rPr>
          <w:rFonts w:ascii="微软雅黑" w:hAnsi="微软雅黑" w:eastAsia="微软雅黑" w:cs="楷体"/>
          <w:sz w:val="24"/>
        </w:rPr>
        <w:drawing>
          <wp:inline distT="0" distB="0" distL="114300" distR="114300">
            <wp:extent cx="5760085" cy="2915920"/>
            <wp:effectExtent l="0" t="0" r="12065" b="17780"/>
            <wp:docPr id="9" name="图片 9" descr="微信图片_20211202152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11202152740"/>
                    <pic:cNvPicPr>
                      <a:picLocks noChangeAspect="1"/>
                    </pic:cNvPicPr>
                  </pic:nvPicPr>
                  <pic:blipFill>
                    <a:blip r:embed="rId9"/>
                    <a:srcRect l="2842" t="16744" r="9422" b="518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9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adjustRightInd w:val="0"/>
        <w:snapToGrid w:val="0"/>
        <w:jc w:val="left"/>
        <w:outlineLvl w:val="0"/>
        <w:rPr>
          <w:rFonts w:ascii="微软雅黑" w:hAnsi="微软雅黑" w:eastAsia="微软雅黑" w:cs="楷体"/>
          <w:bCs/>
          <w:sz w:val="30"/>
          <w:szCs w:val="30"/>
        </w:rPr>
      </w:pPr>
      <w:bookmarkStart w:id="8" w:name="_Toc20324"/>
      <w:bookmarkStart w:id="9" w:name="_Toc268_WPSOffice_Level2"/>
      <w:r>
        <w:rPr>
          <w:rFonts w:hint="eastAsia" w:ascii="微软雅黑" w:hAnsi="微软雅黑" w:eastAsia="微软雅黑" w:cs="楷体"/>
          <w:bCs/>
          <w:sz w:val="30"/>
          <w:szCs w:val="30"/>
        </w:rPr>
        <w:t>指示灯说明</w:t>
      </w:r>
      <w:bookmarkEnd w:id="8"/>
      <w:bookmarkEnd w:id="9"/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>红色－电源指示灯</w:t>
      </w:r>
    </w:p>
    <w:tbl>
      <w:tblPr>
        <w:tblStyle w:val="6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shd w:val="clear" w:color="auto" w:fill="323E4F" w:themeFill="text2" w:themeFillShade="BF"/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灯的状态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shd w:val="clear" w:color="auto" w:fill="323E4F" w:themeFill="text2" w:themeFillShade="BF"/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含义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长亮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设备通电正常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熄灭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设备未上电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慢闪（1秒1次）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电压过低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快闪（1秒5次）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外部主电源断开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熄灭（间隔10秒1次）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设备休眠</w:t>
            </w:r>
          </w:p>
        </w:tc>
      </w:tr>
    </w:tbl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>绿色－通信指示灯</w:t>
      </w:r>
    </w:p>
    <w:tbl>
      <w:tblPr>
        <w:tblStyle w:val="6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shd w:val="clear" w:color="auto" w:fill="323E4F" w:themeFill="text2" w:themeFillShade="BF"/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灯的状态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shd w:val="clear" w:color="auto" w:fill="323E4F" w:themeFill="text2" w:themeFillShade="BF"/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含义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长亮（间隔10秒闪烁2次）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已连接平台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熄灭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设备未工作或已休眠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快闪（1秒5次）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无SIM卡或未注册网络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慢闪（1秒1次）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网络注册成功，未连接平台</w:t>
            </w:r>
          </w:p>
        </w:tc>
      </w:tr>
    </w:tbl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>蓝色灯－定位指示灯</w:t>
      </w:r>
    </w:p>
    <w:tbl>
      <w:tblPr>
        <w:tblStyle w:val="6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shd w:val="clear" w:color="auto" w:fill="323E4F" w:themeFill="text2" w:themeFillShade="BF"/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灯的状态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shd w:val="clear" w:color="auto" w:fill="323E4F" w:themeFill="text2" w:themeFillShade="BF"/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含义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长亮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已定位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熄灭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设备未工作或已休眠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快闪（1秒5次）</w:t>
            </w:r>
          </w:p>
        </w:tc>
        <w:tc>
          <w:tcPr>
            <w:tcW w:w="4261" w:type="dxa"/>
            <w:tcBorders>
              <w:top w:val="single" w:color="00B0F0" w:sz="4" w:space="0"/>
              <w:left w:val="single" w:color="00B0F0" w:sz="4" w:space="0"/>
              <w:bottom w:val="single" w:color="00B0F0" w:sz="4" w:space="0"/>
              <w:right w:val="single" w:color="00B0F0" w:sz="4" w:space="0"/>
            </w:tcBorders>
            <w:noWrap/>
          </w:tcPr>
          <w:p>
            <w:pPr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Cs w:val="21"/>
              </w:rPr>
            </w:pPr>
            <w:r>
              <w:rPr>
                <w:rFonts w:hint="eastAsia" w:ascii="微软雅黑" w:hAnsi="微软雅黑" w:eastAsia="微软雅黑" w:cs="楷体"/>
                <w:szCs w:val="21"/>
              </w:rPr>
              <w:t>未定位</w:t>
            </w:r>
          </w:p>
        </w:tc>
      </w:tr>
    </w:tbl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>注：休眠状态下，通讯和定位灯完全熄灭，电源灯每间隔10秒慢闪烁2次</w:t>
      </w:r>
    </w:p>
    <w:p>
      <w:pPr>
        <w:numPr>
          <w:ilvl w:val="0"/>
          <w:numId w:val="1"/>
        </w:numPr>
        <w:adjustRightInd w:val="0"/>
        <w:snapToGrid w:val="0"/>
        <w:jc w:val="left"/>
        <w:outlineLvl w:val="0"/>
        <w:rPr>
          <w:rFonts w:ascii="微软雅黑" w:hAnsi="微软雅黑" w:eastAsia="微软雅黑" w:cs="楷体"/>
          <w:bCs/>
          <w:sz w:val="30"/>
          <w:szCs w:val="30"/>
        </w:rPr>
      </w:pPr>
      <w:r>
        <w:rPr>
          <w:rFonts w:hint="eastAsia" w:ascii="微软雅黑" w:hAnsi="微软雅黑" w:eastAsia="微软雅黑" w:cs="楷体"/>
          <w:bCs/>
          <w:sz w:val="30"/>
          <w:szCs w:val="30"/>
        </w:rPr>
        <w:t>线序说明</w:t>
      </w:r>
    </w:p>
    <w:tbl>
      <w:tblPr>
        <w:tblStyle w:val="7"/>
        <w:tblW w:w="0" w:type="auto"/>
        <w:tblInd w:w="4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81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  <w:shd w:val="clear" w:color="auto" w:fill="FF0000"/>
          </w:tcPr>
          <w:p>
            <w:pPr>
              <w:widowControl/>
              <w:snapToGrid w:val="0"/>
              <w:jc w:val="center"/>
              <w:rPr>
                <w:rFonts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  <w:t>红  色</w:t>
            </w:r>
          </w:p>
        </w:tc>
        <w:tc>
          <w:tcPr>
            <w:tcW w:w="8145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</w:tcPr>
          <w:p>
            <w:pPr>
              <w:widowControl/>
              <w:snapToGrid w:val="0"/>
              <w:jc w:val="left"/>
              <w:rPr>
                <w:rFonts w:ascii="微软雅黑" w:hAnsi="微软雅黑" w:eastAsia="微软雅黑" w:cs="楷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楷体"/>
                <w:bCs/>
                <w:color w:val="000000"/>
                <w:kern w:val="0"/>
                <w:sz w:val="24"/>
              </w:rPr>
              <w:t>电源正极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  <w:shd w:val="clear" w:color="auto" w:fill="000000" w:themeFill="text1"/>
          </w:tcPr>
          <w:p>
            <w:pPr>
              <w:widowControl/>
              <w:snapToGrid w:val="0"/>
              <w:jc w:val="center"/>
              <w:rPr>
                <w:rFonts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  <w:t>黑  色</w:t>
            </w:r>
          </w:p>
        </w:tc>
        <w:tc>
          <w:tcPr>
            <w:tcW w:w="8145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</w:tcPr>
          <w:p>
            <w:pPr>
              <w:widowControl/>
              <w:snapToGrid w:val="0"/>
              <w:jc w:val="left"/>
              <w:rPr>
                <w:rFonts w:ascii="微软雅黑" w:hAnsi="微软雅黑" w:eastAsia="微软雅黑" w:cs="楷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楷体"/>
                <w:bCs/>
                <w:color w:val="000000"/>
                <w:kern w:val="0"/>
                <w:sz w:val="24"/>
              </w:rPr>
              <w:t>接地  GND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  <w:shd w:val="clear" w:color="auto" w:fill="FFC000"/>
          </w:tcPr>
          <w:p>
            <w:pPr>
              <w:widowControl/>
              <w:snapToGrid w:val="0"/>
              <w:jc w:val="center"/>
              <w:rPr>
                <w:rFonts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  <w:t>橙  色</w:t>
            </w:r>
          </w:p>
        </w:tc>
        <w:tc>
          <w:tcPr>
            <w:tcW w:w="8145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</w:tcPr>
          <w:p>
            <w:pPr>
              <w:widowControl/>
              <w:snapToGrid w:val="0"/>
              <w:jc w:val="left"/>
              <w:rPr>
                <w:rFonts w:ascii="微软雅黑" w:hAnsi="微软雅黑" w:eastAsia="微软雅黑" w:cs="楷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楷体"/>
                <w:bCs/>
                <w:color w:val="000000"/>
                <w:kern w:val="0"/>
                <w:sz w:val="24"/>
              </w:rPr>
              <w:t>ACC（缺省）、SOS、IO输入 复用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  <w:shd w:val="clear" w:color="auto" w:fill="FFFF00"/>
          </w:tcPr>
          <w:p>
            <w:pPr>
              <w:widowControl/>
              <w:snapToGrid w:val="0"/>
              <w:jc w:val="center"/>
              <w:rPr>
                <w:rFonts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Cs/>
                <w:kern w:val="0"/>
                <w:sz w:val="24"/>
              </w:rPr>
              <w:t>黄  色</w:t>
            </w:r>
          </w:p>
        </w:tc>
        <w:tc>
          <w:tcPr>
            <w:tcW w:w="8145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</w:tcPr>
          <w:p>
            <w:pPr>
              <w:widowControl/>
              <w:snapToGrid w:val="0"/>
              <w:jc w:val="left"/>
              <w:rPr>
                <w:rFonts w:ascii="微软雅黑" w:hAnsi="微软雅黑" w:eastAsia="微软雅黑" w:cs="楷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楷体"/>
                <w:bCs/>
                <w:color w:val="000000"/>
                <w:kern w:val="0"/>
                <w:sz w:val="24"/>
              </w:rPr>
              <w:t>控制线</w:t>
            </w:r>
          </w:p>
        </w:tc>
      </w:tr>
    </w:tbl>
    <w:p>
      <w:pPr>
        <w:widowControl/>
        <w:snapToGrid w:val="0"/>
        <w:spacing w:line="300" w:lineRule="auto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numPr>
          <w:ilvl w:val="0"/>
          <w:numId w:val="1"/>
        </w:numPr>
        <w:adjustRightInd w:val="0"/>
        <w:snapToGrid w:val="0"/>
        <w:jc w:val="left"/>
        <w:outlineLvl w:val="0"/>
        <w:rPr>
          <w:rFonts w:ascii="微软雅黑" w:hAnsi="微软雅黑" w:eastAsia="微软雅黑" w:cs="楷体"/>
          <w:bCs/>
          <w:sz w:val="30"/>
          <w:szCs w:val="30"/>
        </w:rPr>
      </w:pPr>
      <w:r>
        <w:rPr>
          <w:rFonts w:hint="eastAsia" w:ascii="微软雅黑" w:hAnsi="微软雅黑" w:eastAsia="微软雅黑" w:cs="楷体"/>
          <w:bCs/>
          <w:sz w:val="30"/>
          <w:szCs w:val="30"/>
        </w:rPr>
        <w:t>常用设置</w:t>
      </w:r>
    </w:p>
    <w:p>
      <w:pPr>
        <w:adjustRightInd w:val="0"/>
        <w:snapToGrid w:val="0"/>
        <w:spacing w:line="300" w:lineRule="auto"/>
        <w:jc w:val="left"/>
        <w:outlineLvl w:val="1"/>
        <w:rPr>
          <w:rFonts w:ascii="微软雅黑" w:hAnsi="微软雅黑" w:eastAsia="微软雅黑" w:cs="楷体"/>
          <w:bCs/>
          <w:sz w:val="28"/>
          <w:szCs w:val="28"/>
        </w:rPr>
      </w:pPr>
      <w:r>
        <w:rPr>
          <w:rFonts w:ascii="微软雅黑" w:hAnsi="微软雅黑" w:eastAsia="微软雅黑" w:cs="楷体"/>
          <w:bCs/>
          <w:sz w:val="28"/>
          <w:szCs w:val="28"/>
        </w:rPr>
        <w:t>5</w:t>
      </w:r>
      <w:r>
        <w:rPr>
          <w:rFonts w:hint="eastAsia" w:ascii="微软雅黑" w:hAnsi="微软雅黑" w:eastAsia="微软雅黑" w:cs="楷体"/>
          <w:bCs/>
          <w:sz w:val="28"/>
          <w:szCs w:val="28"/>
        </w:rPr>
        <w:t>.</w:t>
      </w:r>
      <w:r>
        <w:rPr>
          <w:rFonts w:hint="eastAsia" w:ascii="微软雅黑" w:hAnsi="微软雅黑" w:eastAsia="微软雅黑" w:cs="楷体"/>
          <w:bCs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楷体"/>
          <w:bCs/>
          <w:sz w:val="28"/>
          <w:szCs w:val="28"/>
        </w:rPr>
        <w:t>运维助手设置</w:t>
      </w: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>登录微信小程序：舒服运维助手；输入IMEI号查找；设置指令（可选择多个终端同时设置</w:t>
      </w:r>
      <w:r>
        <w:rPr>
          <w:rFonts w:hint="eastAsia" w:ascii="微软雅黑" w:hAnsi="微软雅黑" w:eastAsia="微软雅黑" w:cs="楷体"/>
          <w:bCs/>
          <w:color w:val="000000"/>
          <w:kern w:val="0"/>
          <w:sz w:val="24"/>
          <w:lang w:val="en-US" w:eastAsia="zh-CN"/>
        </w:rPr>
        <w:t>下发IP不要补零</w:t>
      </w:r>
      <w:bookmarkStart w:id="12" w:name="_GoBack"/>
      <w:bookmarkEnd w:id="12"/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>）</w:t>
      </w: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3272155</wp:posOffset>
            </wp:positionH>
            <wp:positionV relativeFrom="paragraph">
              <wp:posOffset>10160</wp:posOffset>
            </wp:positionV>
            <wp:extent cx="2383155" cy="5169535"/>
            <wp:effectExtent l="0" t="0" r="17145" b="12065"/>
            <wp:wrapSquare wrapText="bothSides"/>
            <wp:docPr id="11" name="图片 11" descr="微信图片_20211202172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1120217200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3155" cy="5169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55880</wp:posOffset>
            </wp:positionV>
            <wp:extent cx="2376170" cy="5133340"/>
            <wp:effectExtent l="0" t="0" r="5080" b="10160"/>
            <wp:wrapSquare wrapText="bothSides"/>
            <wp:docPr id="10" name="图片 10" descr="微信图片_20211202171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11202171623"/>
                    <pic:cNvPicPr>
                      <a:picLocks noChangeAspect="1"/>
                    </pic:cNvPicPr>
                  </pic:nvPicPr>
                  <pic:blipFill>
                    <a:blip r:embed="rId11"/>
                    <a:srcRect b="389"/>
                    <a:stretch>
                      <a:fillRect/>
                    </a:stretch>
                  </pic:blipFill>
                  <pic:spPr>
                    <a:xfrm>
                      <a:off x="0" y="0"/>
                      <a:ext cx="2376170" cy="5133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</w:p>
    <w:p>
      <w:pPr>
        <w:widowControl/>
        <w:snapToGrid w:val="0"/>
        <w:spacing w:line="300" w:lineRule="auto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 xml:space="preserve">                            </w:t>
      </w:r>
    </w:p>
    <w:p>
      <w:pPr>
        <w:numPr>
          <w:ilvl w:val="0"/>
          <w:numId w:val="1"/>
        </w:numPr>
        <w:adjustRightInd w:val="0"/>
        <w:snapToGrid w:val="0"/>
        <w:jc w:val="left"/>
        <w:outlineLvl w:val="0"/>
        <w:rPr>
          <w:rFonts w:ascii="微软雅黑" w:hAnsi="微软雅黑" w:eastAsia="微软雅黑" w:cs="楷体"/>
          <w:bCs/>
          <w:sz w:val="30"/>
          <w:szCs w:val="30"/>
        </w:rPr>
      </w:pPr>
      <w:r>
        <w:rPr>
          <w:rFonts w:hint="eastAsia" w:ascii="微软雅黑" w:hAnsi="微软雅黑" w:eastAsia="微软雅黑" w:cs="楷体"/>
          <w:bCs/>
          <w:sz w:val="30"/>
          <w:szCs w:val="30"/>
        </w:rPr>
        <w:t>上报频率说明</w:t>
      </w: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>休眠状态：连续3分钟ACC关，设备休眠，每4分钟上报一条数据</w:t>
      </w: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>行驶点火状态：ACC开，每30秒钟上报一条数据</w:t>
      </w:r>
    </w:p>
    <w:p>
      <w:pPr>
        <w:widowControl/>
        <w:snapToGrid w:val="0"/>
        <w:spacing w:line="300" w:lineRule="auto"/>
        <w:ind w:firstLine="480" w:firstLineChars="200"/>
        <w:jc w:val="left"/>
        <w:rPr>
          <w:rFonts w:ascii="微软雅黑" w:hAnsi="微软雅黑" w:eastAsia="微软雅黑" w:cs="楷体"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楷体"/>
          <w:bCs/>
          <w:color w:val="000000"/>
          <w:kern w:val="0"/>
          <w:sz w:val="24"/>
        </w:rPr>
        <w:t>备注：行驶过程中，拐弯补偿情况下，上报间隔1-30s不定</w:t>
      </w:r>
    </w:p>
    <w:p>
      <w:pPr>
        <w:numPr>
          <w:ilvl w:val="0"/>
          <w:numId w:val="1"/>
        </w:numPr>
        <w:adjustRightInd w:val="0"/>
        <w:snapToGrid w:val="0"/>
        <w:jc w:val="left"/>
        <w:outlineLvl w:val="0"/>
        <w:rPr>
          <w:rFonts w:ascii="微软雅黑" w:hAnsi="微软雅黑" w:eastAsia="微软雅黑" w:cs="楷体"/>
          <w:bCs/>
          <w:sz w:val="30"/>
          <w:szCs w:val="30"/>
        </w:rPr>
      </w:pPr>
      <w:r>
        <w:rPr>
          <w:rFonts w:hint="eastAsia" w:ascii="微软雅黑" w:hAnsi="微软雅黑" w:eastAsia="微软雅黑" w:cs="楷体"/>
          <w:bCs/>
          <w:sz w:val="30"/>
          <w:szCs w:val="30"/>
        </w:rPr>
        <w:t>报警</w:t>
      </w:r>
    </w:p>
    <w:tbl>
      <w:tblPr>
        <w:tblStyle w:val="7"/>
        <w:tblW w:w="0" w:type="auto"/>
        <w:tblInd w:w="4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81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  <w:shd w:val="clear" w:color="auto" w:fill="212934" w:themeFill="text2" w:themeFillShade="7F"/>
          </w:tcPr>
          <w:p>
            <w:pPr>
              <w:widowControl/>
              <w:snapToGrid w:val="0"/>
              <w:jc w:val="left"/>
              <w:rPr>
                <w:rFonts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  <w:t>掉电报警</w:t>
            </w:r>
          </w:p>
        </w:tc>
        <w:tc>
          <w:tcPr>
            <w:tcW w:w="8145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</w:tcPr>
          <w:p>
            <w:pPr>
              <w:widowControl/>
              <w:snapToGrid w:val="0"/>
              <w:jc w:val="left"/>
              <w:rPr>
                <w:rFonts w:ascii="微软雅黑" w:hAnsi="微软雅黑" w:eastAsia="微软雅黑" w:cs="楷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楷体"/>
                <w:bCs/>
                <w:color w:val="000000"/>
                <w:kern w:val="0"/>
                <w:sz w:val="24"/>
              </w:rPr>
              <w:t>接入电源，设备正常工作，当断开电源后3秒，设备触发断电报警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  <w:shd w:val="clear" w:color="auto" w:fill="212934" w:themeFill="text2" w:themeFillShade="7F"/>
          </w:tcPr>
          <w:p>
            <w:pPr>
              <w:widowControl/>
              <w:snapToGrid w:val="0"/>
              <w:jc w:val="left"/>
              <w:rPr>
                <w:rFonts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  <w:t>欠压报警</w:t>
            </w:r>
          </w:p>
        </w:tc>
        <w:tc>
          <w:tcPr>
            <w:tcW w:w="8145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</w:tcPr>
          <w:p>
            <w:pPr>
              <w:widowControl/>
              <w:snapToGrid w:val="0"/>
              <w:jc w:val="left"/>
              <w:rPr>
                <w:rFonts w:ascii="微软雅黑" w:hAnsi="微软雅黑" w:eastAsia="微软雅黑" w:cs="楷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楷体"/>
                <w:bCs/>
                <w:color w:val="000000"/>
                <w:kern w:val="0"/>
                <w:sz w:val="24"/>
              </w:rPr>
              <w:t>电源电压低于9V，设备触发欠压报警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  <w:shd w:val="clear" w:color="auto" w:fill="212934" w:themeFill="text2" w:themeFillShade="7F"/>
          </w:tcPr>
          <w:p>
            <w:pPr>
              <w:widowControl/>
              <w:snapToGrid w:val="0"/>
              <w:jc w:val="left"/>
              <w:rPr>
                <w:rFonts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Cs/>
                <w:color w:val="FFFFFF" w:themeColor="background1"/>
                <w:kern w:val="0"/>
                <w:sz w:val="24"/>
                <w14:textFill>
                  <w14:solidFill>
                    <w14:schemeClr w14:val="bg1"/>
                  </w14:solidFill>
                </w14:textFill>
              </w:rPr>
              <w:t>SOS报警</w:t>
            </w:r>
          </w:p>
        </w:tc>
        <w:tc>
          <w:tcPr>
            <w:tcW w:w="8145" w:type="dxa"/>
            <w:tcBorders>
              <w:top w:val="single" w:color="5B9BD5" w:themeColor="accent1" w:sz="4" w:space="0"/>
              <w:left w:val="single" w:color="5B9BD5" w:themeColor="accent1" w:sz="4" w:space="0"/>
              <w:bottom w:val="single" w:color="5B9BD5" w:themeColor="accent1" w:sz="4" w:space="0"/>
              <w:right w:val="single" w:color="5B9BD5" w:themeColor="accent1" w:sz="4" w:space="0"/>
            </w:tcBorders>
          </w:tcPr>
          <w:p>
            <w:pPr>
              <w:widowControl/>
              <w:snapToGrid w:val="0"/>
              <w:jc w:val="left"/>
              <w:rPr>
                <w:rFonts w:ascii="微软雅黑" w:hAnsi="微软雅黑" w:eastAsia="微软雅黑" w:cs="楷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楷体"/>
                <w:bCs/>
                <w:color w:val="000000"/>
                <w:kern w:val="0"/>
                <w:sz w:val="24"/>
              </w:rPr>
              <w:t>按下SOS按钮，触发SOS报警</w:t>
            </w:r>
          </w:p>
        </w:tc>
      </w:tr>
    </w:tbl>
    <w:p>
      <w:pPr>
        <w:adjustRightInd w:val="0"/>
        <w:snapToGrid w:val="0"/>
        <w:jc w:val="left"/>
        <w:rPr>
          <w:rFonts w:ascii="微软雅黑" w:hAnsi="微软雅黑" w:eastAsia="微软雅黑" w:cs="楷体"/>
          <w:bCs/>
          <w:sz w:val="32"/>
          <w:szCs w:val="32"/>
        </w:rPr>
      </w:pPr>
      <w:bookmarkStart w:id="10" w:name="_Toc23277"/>
      <w:bookmarkStart w:id="11" w:name="_Toc12941_WPSOffice_Level1"/>
    </w:p>
    <w:p>
      <w:pPr>
        <w:adjustRightInd w:val="0"/>
        <w:snapToGrid w:val="0"/>
        <w:jc w:val="left"/>
        <w:rPr>
          <w:rFonts w:ascii="微软雅黑" w:hAnsi="微软雅黑" w:eastAsia="微软雅黑" w:cs="楷体"/>
          <w:bCs/>
          <w:sz w:val="32"/>
          <w:szCs w:val="32"/>
        </w:rPr>
      </w:pPr>
    </w:p>
    <w:p>
      <w:pPr>
        <w:adjustRightInd w:val="0"/>
        <w:snapToGrid w:val="0"/>
        <w:jc w:val="left"/>
        <w:rPr>
          <w:rFonts w:ascii="微软雅黑" w:hAnsi="微软雅黑" w:eastAsia="微软雅黑" w:cs="楷体"/>
          <w:bCs/>
          <w:sz w:val="32"/>
          <w:szCs w:val="32"/>
        </w:rPr>
      </w:pPr>
    </w:p>
    <w:p>
      <w:pPr>
        <w:numPr>
          <w:ilvl w:val="0"/>
          <w:numId w:val="1"/>
        </w:numPr>
        <w:adjustRightInd w:val="0"/>
        <w:snapToGrid w:val="0"/>
        <w:jc w:val="left"/>
        <w:outlineLvl w:val="0"/>
        <w:rPr>
          <w:rFonts w:ascii="微软雅黑" w:hAnsi="微软雅黑" w:eastAsia="微软雅黑" w:cs="楷体"/>
          <w:bCs/>
          <w:sz w:val="32"/>
          <w:szCs w:val="32"/>
        </w:rPr>
      </w:pPr>
      <w:r>
        <w:rPr>
          <w:rFonts w:hint="eastAsia" w:ascii="微软雅黑" w:hAnsi="微软雅黑" w:eastAsia="微软雅黑" w:cs="楷体"/>
          <w:bCs/>
          <w:sz w:val="32"/>
          <w:szCs w:val="32"/>
        </w:rPr>
        <w:t>产品参数</w:t>
      </w:r>
      <w:bookmarkEnd w:id="10"/>
      <w:bookmarkEnd w:id="11"/>
    </w:p>
    <w:tbl>
      <w:tblPr>
        <w:tblStyle w:val="6"/>
        <w:tblpPr w:leftFromText="181" w:rightFromText="181" w:vertAnchor="text" w:horzAnchor="page" w:tblpX="1061" w:tblpY="138"/>
        <w:tblOverlap w:val="never"/>
        <w:tblW w:w="999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552"/>
        <w:gridCol w:w="567"/>
        <w:gridCol w:w="567"/>
        <w:gridCol w:w="992"/>
        <w:gridCol w:w="709"/>
        <w:gridCol w:w="3368"/>
      </w:tblGrid>
      <w:tr>
        <w:trPr>
          <w:trHeight w:val="185" w:hRule="atLeast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323E4F" w:themeFill="text2" w:themeFillShade="BF"/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spacing w:line="240" w:lineRule="atLeast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类别</w:t>
            </w:r>
          </w:p>
        </w:tc>
        <w:tc>
          <w:tcPr>
            <w:tcW w:w="2552" w:type="dxa"/>
            <w:tcBorders>
              <w:top w:val="single" w:color="auto" w:sz="4" w:space="0"/>
              <w:bottom w:val="single" w:color="auto" w:sz="4" w:space="0"/>
            </w:tcBorders>
            <w:shd w:val="clear" w:color="auto" w:fill="323E4F" w:themeFill="text2" w:themeFillShade="BF"/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spacing w:line="240" w:lineRule="atLeast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功能名称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shd w:val="clear" w:color="auto" w:fill="323E4F" w:themeFill="text2" w:themeFillShade="BF"/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spacing w:line="240" w:lineRule="atLeast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有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shd w:val="clear" w:color="auto" w:fill="323E4F" w:themeFill="text2" w:themeFillShade="BF"/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spacing w:line="240" w:lineRule="atLeast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无</w:t>
            </w:r>
          </w:p>
        </w:tc>
        <w:tc>
          <w:tcPr>
            <w:tcW w:w="5069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323E4F" w:themeFill="text2" w:themeFillShade="BF"/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spacing w:line="240" w:lineRule="atLeast"/>
              <w:jc w:val="center"/>
              <w:rPr>
                <w:rFonts w:ascii="微软雅黑" w:hAnsi="微软雅黑" w:eastAsia="微软雅黑" w:cs="楷体"/>
                <w:b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楷体"/>
                <w:b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项目功能描述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电气特性</w:t>
            </w:r>
          </w:p>
        </w:tc>
        <w:tc>
          <w:tcPr>
            <w:tcW w:w="2552" w:type="dxa"/>
            <w:tcBorders>
              <w:top w:val="single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工作电压范围</w:t>
            </w:r>
          </w:p>
        </w:tc>
        <w:tc>
          <w:tcPr>
            <w:tcW w:w="567" w:type="dxa"/>
            <w:tcBorders>
              <w:top w:val="single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single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single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DC9V ~ 100V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工作电流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12V/平均40mA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休眠电流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12V/平均12mA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内置电池容量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 xml:space="preserve">50 mAh (3.7V聚合物锂电池)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restart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环境特性</w:t>
            </w: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工作温度范围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-20℃ - 75℃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储存温度范围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-30℃ - 80℃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工作湿度范围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10%-85% RH不凝结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restart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通信特性</w:t>
            </w: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通信模组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widowControl/>
              <w:tabs>
                <w:tab w:val="left" w:pos="420"/>
                <w:tab w:val="center" w:pos="2700"/>
                <w:tab w:val="left" w:pos="3940"/>
              </w:tabs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widowControl/>
              <w:tabs>
                <w:tab w:val="left" w:pos="420"/>
                <w:tab w:val="center" w:pos="2700"/>
                <w:tab w:val="left" w:pos="3940"/>
              </w:tabs>
              <w:adjustRightInd w:val="0"/>
              <w:snapToGrid w:val="0"/>
              <w:ind w:right="150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4G CAT1 SIMCOM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vMerge w:val="restart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left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网终频段</w:t>
            </w:r>
          </w:p>
        </w:tc>
        <w:tc>
          <w:tcPr>
            <w:tcW w:w="567" w:type="dxa"/>
            <w:vMerge w:val="restart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vMerge w:val="restart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left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LTE/4G</w:t>
            </w:r>
          </w:p>
        </w:tc>
        <w:tc>
          <w:tcPr>
            <w:tcW w:w="709" w:type="dxa"/>
            <w:vMerge w:val="restart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left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频段</w:t>
            </w:r>
          </w:p>
        </w:tc>
        <w:tc>
          <w:tcPr>
            <w:tcW w:w="3368" w:type="dxa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LTE-FDD:B1/B3/B5/B8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vMerge w:val="continue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left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67" w:type="dxa"/>
            <w:vMerge w:val="continue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67" w:type="dxa"/>
            <w:vMerge w:val="continue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992" w:type="dxa"/>
            <w:vMerge w:val="continue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left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709" w:type="dxa"/>
            <w:vMerge w:val="continue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left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3368" w:type="dxa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LTE-TDD:B38/B39/B40/B41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SIM卡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Nano SIM卡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通信天线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内置高灵敏度FPC全网通天线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2" w:type="dxa"/>
            <w:vMerge w:val="restart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GPS/BD 定位特性</w:t>
            </w: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定位芯片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6486"/>
                <w:tab w:val="right" w:pos="10892"/>
              </w:tabs>
              <w:wordWrap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6486"/>
                <w:tab w:val="right" w:pos="10892"/>
              </w:tabs>
              <w:wordWrap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模组集成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定位方式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北斗+GPS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冷启动时间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平均  ≤30秒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热启动时间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平均  ≤1秒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跟踪灵敏度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-162 dBm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定位天线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内置陶瓷天线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天线规格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25mm * 25mm * 4mm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卫星通道数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定位精度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 xml:space="preserve">&lt;10m（1σ）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授时精度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 xml:space="preserve">&lt;30ns（1σ）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测速精度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 xml:space="preserve">&lt;0.1m/s（1σ）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加速度传感器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3轴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最大速度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 xml:space="preserve">550m/s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最大高度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18000m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restart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外部接口</w:t>
            </w: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输出控制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一路外部继电器的控制（可用于断油电）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IO输入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用于SOS（默认）、ACC、开关量检测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restart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外形规格</w:t>
            </w: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主机尺寸(长宽高)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79mm * 32.6mm * 11.8mm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外壳材质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dotted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ABS塑料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242" w:type="dxa"/>
            <w:vMerge w:val="continue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tted" w:color="auto" w:sz="4" w:space="0"/>
              <w:left w:val="dotted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主机重量</w:t>
            </w: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■</w:t>
            </w:r>
          </w:p>
        </w:tc>
        <w:tc>
          <w:tcPr>
            <w:tcW w:w="567" w:type="dxa"/>
            <w:tcBorders>
              <w:top w:val="dotted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jc w:val="center"/>
              <w:rPr>
                <w:rFonts w:ascii="微软雅黑" w:hAnsi="微软雅黑" w:eastAsia="微软雅黑" w:cs="楷体"/>
                <w:sz w:val="22"/>
                <w:szCs w:val="22"/>
              </w:rPr>
            </w:pPr>
          </w:p>
        </w:tc>
        <w:tc>
          <w:tcPr>
            <w:tcW w:w="5069" w:type="dxa"/>
            <w:gridSpan w:val="3"/>
            <w:tcBorders>
              <w:top w:val="dotted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20"/>
                <w:tab w:val="left" w:pos="6480"/>
                <w:tab w:val="right" w:pos="10880"/>
              </w:tabs>
              <w:wordWrap w:val="0"/>
              <w:adjustRightInd w:val="0"/>
              <w:snapToGrid w:val="0"/>
              <w:rPr>
                <w:rFonts w:ascii="微软雅黑" w:hAnsi="微软雅黑" w:eastAsia="微软雅黑" w:cs="楷体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楷体"/>
                <w:sz w:val="22"/>
                <w:szCs w:val="22"/>
              </w:rPr>
              <w:t>38克</w:t>
            </w:r>
          </w:p>
        </w:tc>
      </w:tr>
    </w:tbl>
    <w:p>
      <w:pPr>
        <w:adjustRightInd w:val="0"/>
        <w:snapToGrid w:val="0"/>
      </w:pPr>
    </w:p>
    <w:sectPr>
      <w:headerReference r:id="rId3" w:type="default"/>
      <w:footerReference r:id="rId4" w:type="default"/>
      <w:pgSz w:w="11906" w:h="16838"/>
      <w:pgMar w:top="1247" w:right="709" w:bottom="1247" w:left="1020" w:header="851" w:footer="964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6"/>
      <w:tblW w:w="500" w:type="pct"/>
      <w:tblInd w:w="0" w:type="dxa"/>
      <w:tblLayout w:type="autofit"/>
      <w:tblCellMar>
        <w:top w:w="72" w:type="dxa"/>
        <w:left w:w="115" w:type="dxa"/>
        <w:bottom w:w="72" w:type="dxa"/>
        <w:right w:w="115" w:type="dxa"/>
      </w:tblCellMar>
    </w:tblPr>
    <w:tblGrid>
      <w:gridCol w:w="1041"/>
    </w:tblGrid>
    <w:tr>
      <w:tblPrEx>
        <w:tblCellMar>
          <w:top w:w="72" w:type="dxa"/>
          <w:left w:w="115" w:type="dxa"/>
          <w:bottom w:w="72" w:type="dxa"/>
          <w:right w:w="115" w:type="dxa"/>
        </w:tblCellMar>
      </w:tblPrEx>
      <w:tc>
        <w:tcPr>
          <w:tcW w:w="5000" w:type="pct"/>
          <w:tcBorders>
            <w:top w:val="single" w:color="ED7D31" w:themeColor="accent2" w:sz="4" w:space="0"/>
          </w:tcBorders>
          <w:shd w:val="clear" w:color="auto" w:fill="C55911" w:themeFill="accent2" w:themeFillShade="BF"/>
        </w:tcPr>
        <w:p>
          <w:pPr>
            <w:pStyle w:val="5"/>
            <w:rPr>
              <w:color w:val="FFFFFF" w:themeColor="background1"/>
              <w14:textFill>
                <w14:solidFill>
                  <w14:schemeClr w14:val="bg1"/>
                </w14:solidFill>
              </w14:textFill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color w:val="FFFFFF" w:themeColor="background1"/>
              <w:lang w:val="zh-CN"/>
              <w14:textFill>
                <w14:solidFill>
                  <w14:schemeClr w14:val="bg1"/>
                </w14:solidFill>
              </w14:textFill>
            </w:rPr>
            <w:t>8</w:t>
          </w:r>
          <w:r>
            <w:rPr>
              <w:color w:val="FFFFFF" w:themeColor="background1"/>
              <w:lang w:val="zh-CN"/>
              <w14:textFill>
                <w14:solidFill>
                  <w14:schemeClr w14:val="bg1"/>
                </w14:solidFill>
              </w14:textFill>
            </w:rPr>
            <w:fldChar w:fldCharType="end"/>
          </w:r>
        </w:p>
      </w:tc>
    </w:tr>
  </w:tbl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left"/>
    </w:pPr>
    <w:sdt>
      <w:sdtPr>
        <w:rPr>
          <w:rFonts w:ascii="微软雅黑" w:hAnsi="微软雅黑" w:eastAsia="微软雅黑"/>
          <w:b/>
        </w:rPr>
        <w:alias w:val="标题"/>
        <w:id w:val="258223108"/>
        <w15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>
        <w:rPr>
          <w:rFonts w:ascii="微软雅黑" w:hAnsi="微软雅黑" w:eastAsia="微软雅黑"/>
          <w:b/>
          <w:color w:val="2E75B6" w:themeColor="accent1" w:themeShade="BF"/>
        </w:rPr>
      </w:sdtEndPr>
      <w:sdtContent>
        <w:r>
          <w:rPr>
            <w:rFonts w:hint="eastAsia" w:ascii="微软雅黑" w:hAnsi="微软雅黑" w:eastAsia="微软雅黑"/>
            <w:b/>
          </w:rPr>
          <w:t xml:space="preserve"> F341车载定位终端产品规格书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D2DA6A"/>
    <w:multiLevelType w:val="singleLevel"/>
    <w:tmpl w:val="96D2DA6A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BAFB36C3"/>
    <w:multiLevelType w:val="singleLevel"/>
    <w:tmpl w:val="BAFB36C3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68462C"/>
    <w:rsid w:val="00030FFD"/>
    <w:rsid w:val="000463F1"/>
    <w:rsid w:val="00084CA1"/>
    <w:rsid w:val="0009706C"/>
    <w:rsid w:val="000B00BB"/>
    <w:rsid w:val="000C15BA"/>
    <w:rsid w:val="00173D97"/>
    <w:rsid w:val="001B4E81"/>
    <w:rsid w:val="001C64A8"/>
    <w:rsid w:val="0020380D"/>
    <w:rsid w:val="002170E6"/>
    <w:rsid w:val="002218D7"/>
    <w:rsid w:val="00295A55"/>
    <w:rsid w:val="002A07D9"/>
    <w:rsid w:val="004A0DC4"/>
    <w:rsid w:val="0055005E"/>
    <w:rsid w:val="00693B6E"/>
    <w:rsid w:val="006C5E28"/>
    <w:rsid w:val="006E2457"/>
    <w:rsid w:val="006F002C"/>
    <w:rsid w:val="00727111"/>
    <w:rsid w:val="00761D88"/>
    <w:rsid w:val="007A3C87"/>
    <w:rsid w:val="007B7F35"/>
    <w:rsid w:val="008C6724"/>
    <w:rsid w:val="00903AC4"/>
    <w:rsid w:val="009110F7"/>
    <w:rsid w:val="009D7B30"/>
    <w:rsid w:val="00A17DEC"/>
    <w:rsid w:val="00A37712"/>
    <w:rsid w:val="00AB7AF4"/>
    <w:rsid w:val="00B106BB"/>
    <w:rsid w:val="00B11110"/>
    <w:rsid w:val="00B31AE6"/>
    <w:rsid w:val="00B677AA"/>
    <w:rsid w:val="00BB590B"/>
    <w:rsid w:val="00BD3C95"/>
    <w:rsid w:val="00C57BAE"/>
    <w:rsid w:val="00C62B58"/>
    <w:rsid w:val="00CA435E"/>
    <w:rsid w:val="00CC42F3"/>
    <w:rsid w:val="00D501B3"/>
    <w:rsid w:val="00D90352"/>
    <w:rsid w:val="00E13FC6"/>
    <w:rsid w:val="00E622DD"/>
    <w:rsid w:val="00EC3252"/>
    <w:rsid w:val="00F16357"/>
    <w:rsid w:val="00F4750E"/>
    <w:rsid w:val="00F86859"/>
    <w:rsid w:val="00FA4473"/>
    <w:rsid w:val="00FC5EFC"/>
    <w:rsid w:val="00FE5EB7"/>
    <w:rsid w:val="00FF168E"/>
    <w:rsid w:val="01422624"/>
    <w:rsid w:val="03B91AA2"/>
    <w:rsid w:val="03FB73BA"/>
    <w:rsid w:val="04801BB7"/>
    <w:rsid w:val="05730236"/>
    <w:rsid w:val="070057DB"/>
    <w:rsid w:val="07622CF2"/>
    <w:rsid w:val="08B27CFE"/>
    <w:rsid w:val="09130588"/>
    <w:rsid w:val="097B3770"/>
    <w:rsid w:val="09932CAD"/>
    <w:rsid w:val="0A88716D"/>
    <w:rsid w:val="0AEC1316"/>
    <w:rsid w:val="0CAD582C"/>
    <w:rsid w:val="0CEA047C"/>
    <w:rsid w:val="0D5A082E"/>
    <w:rsid w:val="0F5914A7"/>
    <w:rsid w:val="102368B0"/>
    <w:rsid w:val="10420187"/>
    <w:rsid w:val="112262C0"/>
    <w:rsid w:val="12334F70"/>
    <w:rsid w:val="136F3744"/>
    <w:rsid w:val="138F2256"/>
    <w:rsid w:val="158A7C1C"/>
    <w:rsid w:val="159317B7"/>
    <w:rsid w:val="15DA37E9"/>
    <w:rsid w:val="16747421"/>
    <w:rsid w:val="174D5D62"/>
    <w:rsid w:val="17721152"/>
    <w:rsid w:val="18475387"/>
    <w:rsid w:val="1A7D4E5C"/>
    <w:rsid w:val="1BB51B8C"/>
    <w:rsid w:val="1DB27B6F"/>
    <w:rsid w:val="1DED3FF0"/>
    <w:rsid w:val="1F29326B"/>
    <w:rsid w:val="1F47521D"/>
    <w:rsid w:val="1F954969"/>
    <w:rsid w:val="20170B07"/>
    <w:rsid w:val="20266760"/>
    <w:rsid w:val="2168462C"/>
    <w:rsid w:val="21A31921"/>
    <w:rsid w:val="22457112"/>
    <w:rsid w:val="2256176E"/>
    <w:rsid w:val="22842735"/>
    <w:rsid w:val="23D254D2"/>
    <w:rsid w:val="24D468C4"/>
    <w:rsid w:val="25D91F8B"/>
    <w:rsid w:val="264D094A"/>
    <w:rsid w:val="27F22D43"/>
    <w:rsid w:val="28271CB1"/>
    <w:rsid w:val="290A0F1C"/>
    <w:rsid w:val="296410A7"/>
    <w:rsid w:val="2A4C06C7"/>
    <w:rsid w:val="2AD716A5"/>
    <w:rsid w:val="2B556656"/>
    <w:rsid w:val="2B800596"/>
    <w:rsid w:val="2C4B3501"/>
    <w:rsid w:val="2C720BAC"/>
    <w:rsid w:val="2CEE5FA7"/>
    <w:rsid w:val="2CFB44A5"/>
    <w:rsid w:val="2EA86C31"/>
    <w:rsid w:val="3007757B"/>
    <w:rsid w:val="303D3304"/>
    <w:rsid w:val="30C54659"/>
    <w:rsid w:val="30D87A99"/>
    <w:rsid w:val="31FC45B8"/>
    <w:rsid w:val="342E2F7E"/>
    <w:rsid w:val="35FF3169"/>
    <w:rsid w:val="36CC239A"/>
    <w:rsid w:val="380D1B31"/>
    <w:rsid w:val="387010F6"/>
    <w:rsid w:val="38757067"/>
    <w:rsid w:val="397F795C"/>
    <w:rsid w:val="3A676560"/>
    <w:rsid w:val="3A8C3C4F"/>
    <w:rsid w:val="3BFC2074"/>
    <w:rsid w:val="3C2879DD"/>
    <w:rsid w:val="3CE90AE2"/>
    <w:rsid w:val="3DDF71FB"/>
    <w:rsid w:val="3DF12A36"/>
    <w:rsid w:val="3E011DF4"/>
    <w:rsid w:val="3EA54239"/>
    <w:rsid w:val="3F8B672E"/>
    <w:rsid w:val="400849FF"/>
    <w:rsid w:val="4058480A"/>
    <w:rsid w:val="40BE0253"/>
    <w:rsid w:val="41AE027A"/>
    <w:rsid w:val="41C254F8"/>
    <w:rsid w:val="424B329B"/>
    <w:rsid w:val="43120925"/>
    <w:rsid w:val="43B43039"/>
    <w:rsid w:val="43E63A15"/>
    <w:rsid w:val="43F01175"/>
    <w:rsid w:val="44085C7D"/>
    <w:rsid w:val="44F03457"/>
    <w:rsid w:val="46252527"/>
    <w:rsid w:val="46873F54"/>
    <w:rsid w:val="46FE537F"/>
    <w:rsid w:val="47AA1318"/>
    <w:rsid w:val="484F210B"/>
    <w:rsid w:val="48F144A5"/>
    <w:rsid w:val="49693E74"/>
    <w:rsid w:val="49B75B44"/>
    <w:rsid w:val="49EF0830"/>
    <w:rsid w:val="4B5A616B"/>
    <w:rsid w:val="4BFD2329"/>
    <w:rsid w:val="4D365B45"/>
    <w:rsid w:val="4E106370"/>
    <w:rsid w:val="4E4D0B34"/>
    <w:rsid w:val="4FDE5D44"/>
    <w:rsid w:val="50815E2D"/>
    <w:rsid w:val="50FC70D5"/>
    <w:rsid w:val="512B0871"/>
    <w:rsid w:val="5172126D"/>
    <w:rsid w:val="51A47B6A"/>
    <w:rsid w:val="52491AC3"/>
    <w:rsid w:val="5363530B"/>
    <w:rsid w:val="53A0626B"/>
    <w:rsid w:val="549A5084"/>
    <w:rsid w:val="56104CC5"/>
    <w:rsid w:val="571B32DD"/>
    <w:rsid w:val="58470EE1"/>
    <w:rsid w:val="588D3635"/>
    <w:rsid w:val="5B8D2A38"/>
    <w:rsid w:val="5D922289"/>
    <w:rsid w:val="5D9E4510"/>
    <w:rsid w:val="5EE60C41"/>
    <w:rsid w:val="5F8D447C"/>
    <w:rsid w:val="5FEE4F78"/>
    <w:rsid w:val="60BD3E9D"/>
    <w:rsid w:val="61024F76"/>
    <w:rsid w:val="623E49A5"/>
    <w:rsid w:val="6264607A"/>
    <w:rsid w:val="634967CC"/>
    <w:rsid w:val="6381668B"/>
    <w:rsid w:val="63B802C2"/>
    <w:rsid w:val="64201F02"/>
    <w:rsid w:val="6495363E"/>
    <w:rsid w:val="65262EC3"/>
    <w:rsid w:val="652742B3"/>
    <w:rsid w:val="656054B7"/>
    <w:rsid w:val="65E61916"/>
    <w:rsid w:val="669B3DD7"/>
    <w:rsid w:val="66BD6849"/>
    <w:rsid w:val="678030DE"/>
    <w:rsid w:val="67D7235D"/>
    <w:rsid w:val="67EE4D81"/>
    <w:rsid w:val="68EA3192"/>
    <w:rsid w:val="69084562"/>
    <w:rsid w:val="6A0E1EAE"/>
    <w:rsid w:val="6A7C58BC"/>
    <w:rsid w:val="6B293F7B"/>
    <w:rsid w:val="6B325159"/>
    <w:rsid w:val="6B4864CA"/>
    <w:rsid w:val="6C593D57"/>
    <w:rsid w:val="6C5A746A"/>
    <w:rsid w:val="6CA53601"/>
    <w:rsid w:val="6E045F47"/>
    <w:rsid w:val="6ECE24C5"/>
    <w:rsid w:val="6EFD39E6"/>
    <w:rsid w:val="6FB904A8"/>
    <w:rsid w:val="71C7578A"/>
    <w:rsid w:val="71DF3D0E"/>
    <w:rsid w:val="722035CF"/>
    <w:rsid w:val="7227446C"/>
    <w:rsid w:val="72E928C6"/>
    <w:rsid w:val="73AF2139"/>
    <w:rsid w:val="74501119"/>
    <w:rsid w:val="747F1B2B"/>
    <w:rsid w:val="75C777DC"/>
    <w:rsid w:val="76002828"/>
    <w:rsid w:val="763E17AD"/>
    <w:rsid w:val="79F54BE6"/>
    <w:rsid w:val="7A2D60A4"/>
    <w:rsid w:val="7A9F5691"/>
    <w:rsid w:val="7C514537"/>
    <w:rsid w:val="7C733F5B"/>
    <w:rsid w:val="7D5F45C3"/>
    <w:rsid w:val="7D6E0B66"/>
    <w:rsid w:val="7ED6254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4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0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11">
    <w:name w:val="WPSOffice手动目录 3"/>
    <w:qFormat/>
    <w:uiPriority w:val="0"/>
    <w:pPr>
      <w:ind w:left="400" w:leftChars="4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12">
    <w:name w:val="批注框文本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4">
    <w:name w:val="页眉字符"/>
    <w:basedOn w:val="8"/>
    <w:link w:val="5"/>
    <w:qFormat/>
    <w:uiPriority w:val="99"/>
    <w:rPr>
      <w:rFonts w:asciiTheme="minorHAnsi" w:hAnsiTheme="minorHAnsi" w:eastAsiaTheme="minorEastAsia" w:cstheme="minorBidi"/>
      <w:kern w:val="2"/>
      <w:sz w:val="18"/>
      <w:szCs w:val="24"/>
    </w:rPr>
  </w:style>
  <w:style w:type="paragraph" w:customStyle="1" w:styleId="15">
    <w:name w:val="DEB0AA375AA448A5B00E3FF23BFBE12D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6">
    <w:name w:val="页脚字符"/>
    <w:basedOn w:val="8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5360C43-8327-934B-A7E0-B4F21C1199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ZSTX COMMUNCATION TECNOLOGY</Company>
  <Pages>8</Pages>
  <Words>349</Words>
  <Characters>1991</Characters>
  <Lines>16</Lines>
  <Paragraphs>4</Paragraphs>
  <TotalTime>49</TotalTime>
  <ScaleCrop>false</ScaleCrop>
  <LinksUpToDate>false</LinksUpToDate>
  <CharactersWithSpaces>2336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2021-11-18T09:12:00Z</dcterms:created>
  <dc:creator>安逸</dc:creator>
  <cp:lastModifiedBy>好</cp:lastModifiedBy>
  <cp:lastPrinted>2021-11-18T09:09:00Z</cp:lastPrinted>
  <dcterms:modified xsi:type="dcterms:W3CDTF">2022-02-14T03:11:35Z</dcterms:modified>
  <dc:title> F341车载定位终端产品规格书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8D00CA2FD11E4A189284D1ACD643DF14</vt:lpwstr>
  </property>
</Properties>
</file>